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Arial" w:hAnsi="Arial" w:cs="Arial"/>
          <w:b/>
          <w:sz w:val="20"/>
          <w:szCs w:val="20"/>
        </w:rPr>
      </w:pPr>
      <w:r>
        <w:rPr>
          <w:noProof/>
          <w:lang w:eastAsia="es-MX"/>
        </w:rPr>
        <w:drawing>
          <wp:anchor distT="0" distB="0" distL="114300" distR="114300" simplePos="0" relativeHeight="251665408" behindDoc="0" locked="0" layoutInCell="1" allowOverlap="1">
            <wp:simplePos x="0" y="0"/>
            <wp:positionH relativeFrom="margin">
              <wp:align>left</wp:align>
            </wp:positionH>
            <wp:positionV relativeFrom="paragraph">
              <wp:posOffset>-338397</wp:posOffset>
            </wp:positionV>
            <wp:extent cx="720437" cy="374073"/>
            <wp:effectExtent l="0" t="0" r="3810" b="6985"/>
            <wp:wrapNone/>
            <wp:docPr id="2" name="Imagen 1" descr="cid:image002.png@01D10732.852F16B0"/>
            <wp:cNvGraphicFramePr/>
            <a:graphic xmlns:a="http://schemas.openxmlformats.org/drawingml/2006/main">
              <a:graphicData uri="http://schemas.openxmlformats.org/drawingml/2006/picture">
                <pic:pic xmlns:pic="http://schemas.openxmlformats.org/drawingml/2006/picture">
                  <pic:nvPicPr>
                    <pic:cNvPr id="2" name="Imagen 1" descr="cid:image002.png@01D10732.852F16B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208" cy="379666"/>
                    </a:xfrm>
                    <a:prstGeom prst="rect">
                      <a:avLst/>
                    </a:prstGeom>
                    <a:noFill/>
                    <a:ln>
                      <a:noFill/>
                    </a:ln>
                    <a:extLst/>
                  </pic:spPr>
                </pic:pic>
              </a:graphicData>
            </a:graphic>
            <wp14:sizeRelH relativeFrom="page">
              <wp14:pctWidth>0</wp14:pctWidth>
            </wp14:sizeRelH>
            <wp14:sizeRelV relativeFrom="page">
              <wp14:pctHeight>0</wp14:pctHeight>
            </wp14:sizeRelV>
          </wp:anchor>
        </w:drawing>
      </w:r>
    </w:p>
    <w:bookmarkStart w:id="0" w:name="_GoBack"/>
    <w:bookmarkEnd w:id="0"/>
    <w:p>
      <w:pPr>
        <w:spacing w:after="0" w:line="240" w:lineRule="auto"/>
        <w:jc w:val="center"/>
        <w:rPr>
          <w:rFonts w:cs="Calibri"/>
          <w:b/>
          <w:sz w:val="28"/>
          <w:szCs w:val="28"/>
        </w:rPr>
      </w:pPr>
      <w:r>
        <w:fldChar w:fldCharType="begin"/>
      </w:r>
      <w:r>
        <w:instrText>HYPERLINK "C:\\lquiroz\\AppData\\Local\\Microsoft\\Windows\\Temporary Internet Files\\Content.Outlook\\HBGSO9P3\\MODELO CTA 2013.pptx"</w:instrText>
      </w:r>
      <w:r>
        <w:fldChar w:fldCharType="separate"/>
      </w:r>
      <w:r>
        <w:rPr>
          <w:rStyle w:val="Hipervnculo"/>
          <w:rFonts w:cs="Calibri"/>
          <w:b/>
          <w:sz w:val="28"/>
          <w:szCs w:val="28"/>
        </w:rPr>
        <w:t>NOTAS DE GESTIÓN ADMINISTRATIVA</w:t>
      </w:r>
      <w:r>
        <w:rPr>
          <w:rStyle w:val="Hipervnculo"/>
          <w:rFonts w:cs="Calibri"/>
          <w:b/>
          <w:sz w:val="28"/>
          <w:szCs w:val="28"/>
        </w:rPr>
        <w:fldChar w:fldCharType="end"/>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1. Introducción:</w:t>
      </w:r>
    </w:p>
    <w:p>
      <w:pPr>
        <w:jc w:val="both"/>
        <w:rPr>
          <w:rFonts w:ascii="Arial" w:hAnsi="Arial" w:cs="Arial"/>
          <w:sz w:val="20"/>
          <w:szCs w:val="20"/>
        </w:rPr>
      </w:pPr>
      <w:r>
        <w:rPr>
          <w:rFonts w:ascii="Arial" w:hAnsi="Arial" w:cs="Arial"/>
          <w:sz w:val="20"/>
          <w:szCs w:val="20"/>
        </w:rPr>
        <w:t>El propósito de los estados financieros surge de una necesidad de información, la cual es requerida por interesados internos y externos del Municipio, la gestión administrativa es el conjunto de principios, normas, sistemas y procedimientos que intervienen en las operaciones de tramitación y control requeridas para instrumentar administrativamente las políticas públicas.</w:t>
      </w:r>
    </w:p>
    <w:p>
      <w:pPr>
        <w:autoSpaceDE w:val="0"/>
        <w:autoSpaceDN w:val="0"/>
        <w:adjustRightInd w:val="0"/>
        <w:spacing w:after="0" w:line="240" w:lineRule="auto"/>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2. Describir el panorama Económico y Financiero:</w:t>
      </w:r>
    </w:p>
    <w:p>
      <w:pPr>
        <w:jc w:val="both"/>
        <w:rPr>
          <w:rFonts w:ascii="Arial" w:hAnsi="Arial" w:cs="Arial"/>
          <w:sz w:val="20"/>
          <w:szCs w:val="20"/>
        </w:rPr>
      </w:pPr>
      <w:r>
        <w:rPr>
          <w:rFonts w:ascii="Arial" w:hAnsi="Arial" w:cs="Arial"/>
          <w:sz w:val="20"/>
          <w:szCs w:val="20"/>
        </w:rPr>
        <w:t>El Municipio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pPr>
        <w:jc w:val="both"/>
        <w:rPr>
          <w:rFonts w:ascii="Arial" w:hAnsi="Arial" w:cs="Arial"/>
          <w:b/>
          <w:sz w:val="20"/>
          <w:szCs w:val="20"/>
        </w:rPr>
      </w:pPr>
      <w:r>
        <w:rPr>
          <w:rFonts w:ascii="Arial" w:hAnsi="Arial" w:cs="Arial"/>
          <w:b/>
          <w:sz w:val="20"/>
          <w:szCs w:val="20"/>
        </w:rPr>
        <w:t>3. Autorización e Historia:</w:t>
      </w:r>
    </w:p>
    <w:p>
      <w:pPr>
        <w:jc w:val="both"/>
        <w:rPr>
          <w:rFonts w:ascii="Arial" w:hAnsi="Arial" w:cs="Arial"/>
          <w:sz w:val="20"/>
          <w:szCs w:val="20"/>
        </w:rPr>
      </w:pPr>
      <w:r>
        <w:rPr>
          <w:rFonts w:ascii="Arial" w:hAnsi="Arial" w:cs="Arial"/>
          <w:sz w:val="20"/>
          <w:szCs w:val="20"/>
        </w:rPr>
        <w:t xml:space="preserve">a) Fecha de creación del ente.  </w:t>
      </w:r>
    </w:p>
    <w:p>
      <w:pPr>
        <w:jc w:val="both"/>
        <w:rPr>
          <w:rFonts w:ascii="Arial" w:hAnsi="Arial" w:cs="Arial"/>
          <w:sz w:val="20"/>
          <w:szCs w:val="20"/>
        </w:rPr>
      </w:pPr>
      <w:r>
        <w:rPr>
          <w:rFonts w:ascii="Arial" w:hAnsi="Arial" w:cs="Arial"/>
          <w:sz w:val="20"/>
          <w:szCs w:val="20"/>
        </w:rPr>
        <w:t>01 de enero de 1985</w:t>
      </w:r>
    </w:p>
    <w:p>
      <w:pPr>
        <w:jc w:val="both"/>
        <w:rPr>
          <w:rFonts w:ascii="Arial" w:hAnsi="Arial" w:cs="Arial"/>
          <w:sz w:val="20"/>
          <w:szCs w:val="20"/>
        </w:rPr>
      </w:pPr>
      <w:r>
        <w:rPr>
          <w:rFonts w:ascii="Arial" w:hAnsi="Arial" w:cs="Arial"/>
          <w:sz w:val="20"/>
          <w:szCs w:val="20"/>
        </w:rPr>
        <w:t>b) Principales cambios en su estructura.</w:t>
      </w:r>
    </w:p>
    <w:p>
      <w:pPr>
        <w:jc w:val="both"/>
        <w:rPr>
          <w:rFonts w:ascii="Arial" w:hAnsi="Arial" w:cs="Arial"/>
          <w:sz w:val="20"/>
          <w:szCs w:val="20"/>
        </w:rPr>
      </w:pPr>
      <w:r>
        <w:rPr>
          <w:rFonts w:ascii="Arial" w:hAnsi="Arial" w:cs="Arial"/>
          <w:sz w:val="20"/>
          <w:szCs w:val="20"/>
        </w:rPr>
        <w:t>La estructura Orgánica General de la Administración Pública Centralizada 2015-2018, está conformada por el H. Ayuntamiento, las Secretarías del H. Ayuntamiento, de Seguridad Pública y la Particular, la Tesorería, la Contraloría y 13 Direcciones Generales.</w:t>
      </w:r>
    </w:p>
    <w:p>
      <w:pPr>
        <w:jc w:val="both"/>
        <w:rPr>
          <w:rFonts w:ascii="Arial" w:hAnsi="Arial" w:cs="Arial"/>
          <w:b/>
          <w:sz w:val="20"/>
          <w:szCs w:val="20"/>
        </w:rPr>
      </w:pPr>
      <w:r>
        <w:rPr>
          <w:rFonts w:ascii="Arial" w:hAnsi="Arial" w:cs="Arial"/>
          <w:b/>
          <w:sz w:val="20"/>
          <w:szCs w:val="20"/>
        </w:rPr>
        <w:t>4. Organización y Objeto Social:</w:t>
      </w:r>
    </w:p>
    <w:p>
      <w:pPr>
        <w:jc w:val="both"/>
        <w:rPr>
          <w:rFonts w:ascii="Arial" w:hAnsi="Arial" w:cs="Arial"/>
          <w:sz w:val="20"/>
          <w:szCs w:val="20"/>
        </w:rPr>
      </w:pPr>
      <w:r>
        <w:rPr>
          <w:rFonts w:ascii="Arial" w:hAnsi="Arial" w:cs="Arial"/>
          <w:sz w:val="20"/>
          <w:szCs w:val="20"/>
        </w:rPr>
        <w:t>a) Objeto social.</w:t>
      </w:r>
    </w:p>
    <w:p>
      <w:pPr>
        <w:jc w:val="both"/>
        <w:rPr>
          <w:rFonts w:ascii="Arial" w:hAnsi="Arial" w:cs="Arial"/>
          <w:sz w:val="20"/>
          <w:szCs w:val="20"/>
        </w:rPr>
      </w:pPr>
      <w:r>
        <w:rPr>
          <w:rFonts w:ascii="Arial" w:hAnsi="Arial" w:cs="Arial"/>
          <w:sz w:val="20"/>
          <w:szCs w:val="20"/>
        </w:rPr>
        <w:t>De acuerdo a la ley orgánica Municipal:</w:t>
      </w:r>
    </w:p>
    <w:p>
      <w:pPr>
        <w:jc w:val="both"/>
        <w:rPr>
          <w:rFonts w:ascii="Arial" w:hAnsi="Arial" w:cs="Arial"/>
          <w:sz w:val="20"/>
          <w:szCs w:val="20"/>
        </w:rPr>
      </w:pPr>
      <w:r>
        <w:rPr>
          <w:rFonts w:ascii="Arial" w:hAnsi="Arial" w:cs="Arial"/>
          <w:sz w:val="20"/>
          <w:szCs w:val="20"/>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pPr>
        <w:tabs>
          <w:tab w:val="left" w:leader="underscore" w:pos="9923"/>
        </w:tabs>
        <w:jc w:val="both"/>
        <w:rPr>
          <w:rFonts w:ascii="Arial" w:hAnsi="Arial" w:cs="Arial"/>
          <w:sz w:val="20"/>
          <w:szCs w:val="20"/>
        </w:rPr>
      </w:pPr>
      <w:r>
        <w:rPr>
          <w:rFonts w:ascii="Arial" w:hAnsi="Arial" w:cs="Arial"/>
          <w:sz w:val="20"/>
          <w:szCs w:val="20"/>
        </w:rPr>
        <w:t>De al plan de Gobierno 2015-2018:</w:t>
      </w:r>
    </w:p>
    <w:p>
      <w:pPr>
        <w:tabs>
          <w:tab w:val="left" w:leader="underscore" w:pos="9923"/>
        </w:tabs>
        <w:jc w:val="both"/>
        <w:rPr>
          <w:rFonts w:ascii="Arial" w:hAnsi="Arial" w:cs="Arial"/>
          <w:sz w:val="20"/>
          <w:szCs w:val="20"/>
        </w:rPr>
      </w:pPr>
      <w:r>
        <w:rPr>
          <w:rFonts w:ascii="Arial" w:hAnsi="Arial" w:cs="Arial"/>
          <w:sz w:val="20"/>
          <w:szCs w:val="20"/>
        </w:rPr>
        <w:t xml:space="preserve">Inclusión al desarrollo social sustentable a través de un gobierno responsable y eficaz, con vocación humanista, comprometido con la equidad social. </w:t>
      </w:r>
    </w:p>
    <w:p>
      <w:pPr>
        <w:jc w:val="both"/>
        <w:rPr>
          <w:rFonts w:ascii="Arial" w:hAnsi="Arial" w:cs="Arial"/>
          <w:sz w:val="20"/>
          <w:szCs w:val="20"/>
        </w:rPr>
      </w:pPr>
      <w:r>
        <w:rPr>
          <w:rFonts w:ascii="Arial" w:hAnsi="Arial" w:cs="Arial"/>
          <w:sz w:val="20"/>
          <w:szCs w:val="20"/>
        </w:rPr>
        <w:t>b) Principal actividad.</w:t>
      </w:r>
    </w:p>
    <w:p>
      <w:pPr>
        <w:tabs>
          <w:tab w:val="left" w:leader="underscore" w:pos="9923"/>
        </w:tabs>
        <w:jc w:val="both"/>
        <w:rPr>
          <w:rFonts w:ascii="Arial" w:hAnsi="Arial" w:cs="Arial"/>
          <w:sz w:val="20"/>
          <w:szCs w:val="20"/>
        </w:rPr>
      </w:pPr>
      <w:r>
        <w:rPr>
          <w:rFonts w:ascii="Arial" w:hAnsi="Arial" w:cs="Arial"/>
          <w:sz w:val="20"/>
          <w:szCs w:val="20"/>
        </w:rPr>
        <w:t>Gestión de recursos e implementación de programas que promuevan una mejor calidad de vida de los habitantes.</w:t>
      </w:r>
    </w:p>
    <w:p>
      <w:pPr>
        <w:jc w:val="both"/>
        <w:rPr>
          <w:rFonts w:ascii="Arial" w:hAnsi="Arial" w:cs="Arial"/>
          <w:sz w:val="20"/>
          <w:szCs w:val="20"/>
        </w:rPr>
      </w:pPr>
      <w:r>
        <w:rPr>
          <w:rFonts w:ascii="Arial" w:hAnsi="Arial" w:cs="Arial"/>
          <w:sz w:val="20"/>
          <w:szCs w:val="20"/>
        </w:rPr>
        <w:t>c) Ejercicio fiscal.</w:t>
      </w:r>
    </w:p>
    <w:p>
      <w:pPr>
        <w:jc w:val="both"/>
        <w:rPr>
          <w:rFonts w:ascii="Arial" w:hAnsi="Arial" w:cs="Arial"/>
          <w:sz w:val="20"/>
          <w:szCs w:val="20"/>
        </w:rPr>
      </w:pPr>
      <w:r>
        <w:rPr>
          <w:rFonts w:ascii="Arial" w:hAnsi="Arial" w:cs="Arial"/>
          <w:sz w:val="20"/>
          <w:szCs w:val="20"/>
        </w:rPr>
        <w:t>Enero-Diciembre 2018</w:t>
      </w:r>
    </w:p>
    <w:p>
      <w:pPr>
        <w:jc w:val="both"/>
        <w:rPr>
          <w:rFonts w:ascii="Arial" w:hAnsi="Arial" w:cs="Arial"/>
          <w:sz w:val="20"/>
          <w:szCs w:val="20"/>
        </w:rPr>
      </w:pPr>
      <w:r>
        <w:rPr>
          <w:rFonts w:ascii="Arial" w:hAnsi="Arial" w:cs="Arial"/>
          <w:sz w:val="20"/>
          <w:szCs w:val="20"/>
        </w:rPr>
        <w:lastRenderedPageBreak/>
        <w:t>d) Régimen jurídico.</w:t>
      </w:r>
    </w:p>
    <w:p>
      <w:pPr>
        <w:jc w:val="both"/>
        <w:rPr>
          <w:rFonts w:ascii="Arial" w:hAnsi="Arial" w:cs="Arial"/>
          <w:sz w:val="20"/>
          <w:szCs w:val="20"/>
        </w:rPr>
      </w:pPr>
      <w:r>
        <w:rPr>
          <w:rFonts w:ascii="Arial" w:hAnsi="Arial" w:cs="Arial"/>
          <w:sz w:val="20"/>
          <w:szCs w:val="20"/>
        </w:rPr>
        <w:t>Persona Moral no Contribuyente</w:t>
      </w:r>
    </w:p>
    <w:p>
      <w:pPr>
        <w:jc w:val="both"/>
        <w:rPr>
          <w:rFonts w:ascii="Arial" w:hAnsi="Arial" w:cs="Arial"/>
          <w:sz w:val="20"/>
          <w:szCs w:val="20"/>
        </w:rPr>
      </w:pPr>
      <w:r>
        <w:rPr>
          <w:rFonts w:ascii="Arial" w:hAnsi="Arial" w:cs="Arial"/>
          <w:sz w:val="20"/>
          <w:szCs w:val="20"/>
        </w:rPr>
        <w:t>e) Consideraciones fiscales del ente:</w:t>
      </w:r>
    </w:p>
    <w:p>
      <w:pPr>
        <w:autoSpaceDE w:val="0"/>
        <w:autoSpaceDN w:val="0"/>
        <w:adjustRightInd w:val="0"/>
        <w:spacing w:after="0" w:line="240" w:lineRule="auto"/>
        <w:rPr>
          <w:rFonts w:ascii="Arial" w:hAnsi="Arial" w:cs="Arial"/>
          <w:sz w:val="20"/>
          <w:szCs w:val="20"/>
        </w:rPr>
      </w:pPr>
      <w:r>
        <w:rPr>
          <w:rFonts w:ascii="Arial" w:hAnsi="Arial" w:cs="Arial"/>
          <w:sz w:val="20"/>
          <w:szCs w:val="20"/>
          <w:lang w:eastAsia="es-MX"/>
        </w:rPr>
        <w:t>1</w:t>
      </w:r>
      <w:r>
        <w:rPr>
          <w:rFonts w:ascii="Arial" w:hAnsi="Arial" w:cs="Arial"/>
          <w:sz w:val="20"/>
          <w:szCs w:val="20"/>
        </w:rPr>
        <w:t>) Declaración anual y pago provisional mensual de retenciones de Impuesto Sobre la Renta (ISR) por sueldos y salarios, asimilados a salarios.</w:t>
      </w:r>
    </w:p>
    <w:p>
      <w:pPr>
        <w:autoSpaceDE w:val="0"/>
        <w:autoSpaceDN w:val="0"/>
        <w:adjustRightInd w:val="0"/>
        <w:spacing w:after="0" w:line="240" w:lineRule="auto"/>
        <w:rPr>
          <w:rFonts w:ascii="Arial" w:hAnsi="Arial" w:cs="Arial"/>
          <w:sz w:val="20"/>
          <w:szCs w:val="20"/>
        </w:rPr>
      </w:pPr>
      <w:r>
        <w:rPr>
          <w:rFonts w:ascii="Arial" w:hAnsi="Arial" w:cs="Arial"/>
          <w:sz w:val="20"/>
          <w:szCs w:val="20"/>
        </w:rPr>
        <w:t>2) Declaración anual y pago provisional mensual del ISR donde se informe las retenciones efectuadas por pagos de rentas de bienes inmuebles.</w:t>
      </w:r>
    </w:p>
    <w:p>
      <w:pPr>
        <w:autoSpaceDE w:val="0"/>
        <w:autoSpaceDN w:val="0"/>
        <w:adjustRightInd w:val="0"/>
        <w:spacing w:after="0" w:line="240" w:lineRule="auto"/>
        <w:rPr>
          <w:rFonts w:ascii="Arial" w:hAnsi="Arial" w:cs="Arial"/>
          <w:sz w:val="20"/>
          <w:szCs w:val="20"/>
        </w:rPr>
      </w:pPr>
      <w:r>
        <w:rPr>
          <w:rFonts w:ascii="Arial" w:hAnsi="Arial" w:cs="Arial"/>
          <w:sz w:val="20"/>
          <w:szCs w:val="20"/>
        </w:rPr>
        <w:t>3) Declaración anual donde se informe sobre las retenciones de los trabajadores que recibieron sueldos y salarios, y trabajadores asimilados a salarios</w:t>
      </w:r>
    </w:p>
    <w:p>
      <w:pPr>
        <w:spacing w:after="0" w:line="240" w:lineRule="auto"/>
        <w:jc w:val="both"/>
        <w:rPr>
          <w:rFonts w:ascii="Arial" w:hAnsi="Arial" w:cs="Arial"/>
          <w:sz w:val="20"/>
          <w:szCs w:val="20"/>
        </w:rPr>
      </w:pPr>
      <w:r>
        <w:rPr>
          <w:rFonts w:ascii="Arial" w:hAnsi="Arial" w:cs="Arial"/>
          <w:sz w:val="20"/>
          <w:szCs w:val="20"/>
        </w:rPr>
        <w:t>4) Declaración mensual donde se informe sobre las operaciones con terceros para efectos de Impuesto al Valor Agregado (IVA).</w:t>
      </w:r>
    </w:p>
    <w:p>
      <w:pPr>
        <w:spacing w:after="0" w:line="240" w:lineRule="auto"/>
        <w:jc w:val="both"/>
        <w:rPr>
          <w:rFonts w:ascii="Arial" w:hAnsi="Arial" w:cs="Arial"/>
          <w:sz w:val="20"/>
          <w:szCs w:val="20"/>
        </w:rPr>
      </w:pPr>
      <w:r>
        <w:rPr>
          <w:rFonts w:ascii="Arial" w:hAnsi="Arial" w:cs="Arial"/>
          <w:sz w:val="20"/>
          <w:szCs w:val="20"/>
        </w:rPr>
        <w:t>5) Pagos mensuales del impuesto sobre nómina.</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f) Estructura organizacional básica.</w:t>
      </w:r>
    </w:p>
    <w:p>
      <w:pPr>
        <w:jc w:val="both"/>
        <w:rPr>
          <w:rFonts w:ascii="Arial" w:hAnsi="Arial" w:cs="Arial"/>
          <w:sz w:val="20"/>
          <w:szCs w:val="20"/>
        </w:rPr>
      </w:pPr>
      <w:hyperlink r:id="rId8" w:history="1">
        <w:r>
          <w:rPr>
            <w:rStyle w:val="Hipervnculo"/>
            <w:rFonts w:ascii="Arial" w:hAnsi="Arial" w:cs="Arial"/>
            <w:sz w:val="20"/>
            <w:szCs w:val="20"/>
          </w:rPr>
          <w:t>http://www.leon.gob.mx/transparencia/images/stories/Organigrama/admon.pdf</w:t>
        </w:r>
      </w:hyperlink>
    </w:p>
    <w:p>
      <w:pPr>
        <w:jc w:val="both"/>
        <w:rPr>
          <w:rFonts w:ascii="Arial" w:hAnsi="Arial" w:cs="Arial"/>
          <w:sz w:val="20"/>
          <w:szCs w:val="20"/>
        </w:rPr>
      </w:pPr>
      <w:r>
        <w:rPr>
          <w:rFonts w:ascii="Arial" w:hAnsi="Arial" w:cs="Arial"/>
          <w:sz w:val="20"/>
          <w:szCs w:val="20"/>
        </w:rPr>
        <w:t>g) Fideicomisos, mandatos y análogos de los cuales es fideicomitente o fiduciario.</w:t>
      </w:r>
    </w:p>
    <w:p>
      <w:pPr>
        <w:jc w:val="both"/>
        <w:rPr>
          <w:rFonts w:ascii="Arial" w:hAnsi="Arial" w:cs="Arial"/>
          <w:sz w:val="20"/>
          <w:szCs w:val="20"/>
        </w:rPr>
      </w:pPr>
      <w:r>
        <w:rPr>
          <w:rFonts w:ascii="Arial" w:hAnsi="Arial" w:cs="Arial"/>
          <w:sz w:val="20"/>
          <w:szCs w:val="20"/>
        </w:rPr>
        <w:t>La información de los fideicomisos con que cuenta este Municipio, son parte integrante de la cuenta pública.</w:t>
      </w:r>
    </w:p>
    <w:p>
      <w:pPr>
        <w:jc w:val="both"/>
        <w:rPr>
          <w:rFonts w:ascii="Arial" w:hAnsi="Arial" w:cs="Arial"/>
          <w:b/>
          <w:sz w:val="20"/>
          <w:szCs w:val="20"/>
        </w:rPr>
      </w:pPr>
      <w:r>
        <w:rPr>
          <w:rFonts w:ascii="Arial" w:hAnsi="Arial" w:cs="Arial"/>
          <w:b/>
          <w:sz w:val="20"/>
          <w:szCs w:val="20"/>
        </w:rPr>
        <w:t>5. Bases de Preparación de los Estados Financieros:</w:t>
      </w:r>
    </w:p>
    <w:p>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A partir del Ejercicio 2013 el Municipio inició la aplicación de la normatividad emitida por el Consejo Nacional de Armonización Contable (CONAC), y las disposiciones legales establecidas en la Ley General de Contabilidad Gubernamental, incorporando progresivamente las modificaciones publicadas, a la fecha se encuentra en proceso la actualización del patrimonio.</w:t>
      </w:r>
    </w:p>
    <w:p>
      <w:pPr>
        <w:autoSpaceDE w:val="0"/>
        <w:autoSpaceDN w:val="0"/>
        <w:adjustRightInd w:val="0"/>
        <w:spacing w:after="0" w:line="240" w:lineRule="auto"/>
        <w:jc w:val="both"/>
        <w:rPr>
          <w:rFonts w:ascii="Arial" w:hAnsi="Arial" w:cs="Arial"/>
          <w:sz w:val="20"/>
          <w:szCs w:val="20"/>
          <w:lang w:eastAsia="es-MX"/>
        </w:rPr>
      </w:pPr>
    </w:p>
    <w:p>
      <w:pPr>
        <w:jc w:val="both"/>
        <w:rPr>
          <w:rFonts w:ascii="Arial" w:hAnsi="Arial" w:cs="Arial"/>
          <w:b/>
          <w:sz w:val="20"/>
          <w:szCs w:val="20"/>
        </w:rPr>
      </w:pPr>
      <w:r>
        <w:rPr>
          <w:rFonts w:ascii="Arial" w:hAnsi="Arial" w:cs="Arial"/>
          <w:b/>
          <w:sz w:val="20"/>
          <w:szCs w:val="20"/>
        </w:rPr>
        <w:t>6. Políticas de Contabilidad Significativas:</w:t>
      </w:r>
    </w:p>
    <w:p>
      <w:pPr>
        <w:jc w:val="both"/>
        <w:rPr>
          <w:rFonts w:ascii="Arial" w:hAnsi="Arial" w:cs="Arial"/>
          <w:sz w:val="20"/>
          <w:szCs w:val="20"/>
        </w:rPr>
      </w:pPr>
      <w:r>
        <w:rPr>
          <w:rFonts w:ascii="Arial" w:hAnsi="Arial" w:cs="Arial"/>
          <w:sz w:val="20"/>
          <w:szCs w:val="20"/>
        </w:rPr>
        <w:t>El Sistema de inventarios que lleva el Municipio es inventarios perpetuos y el método de valuación es precios promedios.</w:t>
      </w:r>
    </w:p>
    <w:p>
      <w:pPr>
        <w:jc w:val="both"/>
        <w:rPr>
          <w:rFonts w:ascii="Arial" w:hAnsi="Arial" w:cs="Arial"/>
          <w:sz w:val="20"/>
          <w:szCs w:val="20"/>
        </w:rPr>
      </w:pPr>
      <w:r>
        <w:rPr>
          <w:rFonts w:ascii="Arial" w:hAnsi="Arial" w:cs="Arial"/>
          <w:sz w:val="20"/>
          <w:szCs w:val="20"/>
        </w:rPr>
        <w:t>La información de los beneficios a empleados está a su disposición en la Dirección General de Desarrollo Institucional.</w:t>
      </w:r>
    </w:p>
    <w:p>
      <w:pPr>
        <w:jc w:val="both"/>
        <w:rPr>
          <w:rFonts w:ascii="Arial" w:hAnsi="Arial" w:cs="Arial"/>
          <w:sz w:val="20"/>
          <w:szCs w:val="20"/>
        </w:rPr>
      </w:pPr>
      <w:r>
        <w:rPr>
          <w:rFonts w:ascii="Arial" w:hAnsi="Arial" w:cs="Arial"/>
          <w:sz w:val="20"/>
          <w:szCs w:val="20"/>
        </w:rPr>
        <w:t>Las Provisiones se dan en base a lo establecido en la Ley para el Ejercicio y Control de los Recursos Públicos, así como en lo dispuesto en los acuerdos del CONAC, están plenamente identificadas por una cuenta contable y se originaron en base a la naturaleza de la fuente de financiamiento.</w:t>
      </w:r>
    </w:p>
    <w:p>
      <w:pPr>
        <w:jc w:val="both"/>
        <w:rPr>
          <w:rFonts w:ascii="Arial" w:hAnsi="Arial" w:cs="Arial"/>
          <w:sz w:val="20"/>
          <w:szCs w:val="20"/>
        </w:rPr>
      </w:pPr>
      <w:r>
        <w:rPr>
          <w:rFonts w:ascii="Arial" w:hAnsi="Arial" w:cs="Arial"/>
          <w:sz w:val="20"/>
          <w:szCs w:val="20"/>
        </w:rPr>
        <w:t>Las reclasificaciones se encuentran normadas de manera general en el Manual de Procedimientos de Egresos, son en base a la misma operatividad del Municipio.</w:t>
      </w:r>
    </w:p>
    <w:p>
      <w:pPr>
        <w:jc w:val="both"/>
        <w:rPr>
          <w:rFonts w:ascii="Arial" w:hAnsi="Arial" w:cs="Arial"/>
          <w:sz w:val="20"/>
          <w:szCs w:val="20"/>
        </w:rPr>
      </w:pPr>
      <w:r>
        <w:rPr>
          <w:rFonts w:ascii="Arial" w:hAnsi="Arial" w:cs="Arial"/>
          <w:sz w:val="20"/>
          <w:szCs w:val="20"/>
        </w:rPr>
        <w:t>La depuración y cancelación de saldos depende de la cuenta, sin embargo, se tiene mediante el Manual de Egresos vigente la política de depurar, a través de las unidades responsables de las cuentas, aquellas que no tienen movimientos en un periodo considerable o cuya vigencia expiró.</w:t>
      </w: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7. Posición en Moneda Extranjera y Protección por Riesgo Cambiario:</w:t>
      </w:r>
    </w:p>
    <w:p>
      <w:pPr>
        <w:jc w:val="both"/>
        <w:rPr>
          <w:rFonts w:ascii="Arial" w:hAnsi="Arial" w:cs="Arial"/>
          <w:sz w:val="20"/>
          <w:szCs w:val="20"/>
        </w:rPr>
      </w:pPr>
      <w:r>
        <w:rPr>
          <w:rFonts w:ascii="Arial" w:hAnsi="Arial" w:cs="Arial"/>
          <w:sz w:val="20"/>
          <w:szCs w:val="20"/>
        </w:rPr>
        <w:t>El municipio realiza sus operaciones en moneda nacional, esporádicamente las realiza en moneda extranjera tomando el tipo de cambio publicado por el Banco de México el día de la operación, por lo que los valores que se presentan en los estados financieros son en moneda nacional.</w:t>
      </w:r>
    </w:p>
    <w:p>
      <w:pPr>
        <w:jc w:val="both"/>
        <w:rPr>
          <w:rFonts w:ascii="Arial" w:hAnsi="Arial" w:cs="Arial"/>
          <w:sz w:val="20"/>
          <w:szCs w:val="20"/>
        </w:rPr>
      </w:pPr>
      <w:r>
        <w:rPr>
          <w:rFonts w:ascii="Arial" w:hAnsi="Arial" w:cs="Arial"/>
          <w:sz w:val="20"/>
          <w:szCs w:val="20"/>
        </w:rPr>
        <w:t>Adicionalmente se informará sobre los métodos de protección de riesgo por variaciones en el tipo de cambio.</w:t>
      </w:r>
    </w:p>
    <w:p>
      <w:pPr>
        <w:jc w:val="both"/>
        <w:rPr>
          <w:rFonts w:ascii="Arial" w:hAnsi="Arial" w:cs="Arial"/>
          <w:b/>
          <w:sz w:val="20"/>
          <w:szCs w:val="20"/>
        </w:rPr>
      </w:pPr>
      <w:r>
        <w:rPr>
          <w:rFonts w:ascii="Arial" w:hAnsi="Arial" w:cs="Arial"/>
          <w:b/>
          <w:sz w:val="20"/>
          <w:szCs w:val="20"/>
        </w:rPr>
        <w:t>8. Reporte Analítico del Activo:</w:t>
      </w:r>
    </w:p>
    <w:p>
      <w:pPr>
        <w:jc w:val="both"/>
        <w:rPr>
          <w:rFonts w:ascii="Arial" w:hAnsi="Arial" w:cs="Arial"/>
          <w:sz w:val="20"/>
          <w:szCs w:val="20"/>
        </w:rPr>
      </w:pPr>
      <w:r>
        <w:rPr>
          <w:rFonts w:ascii="Arial" w:hAnsi="Arial" w:cs="Arial"/>
          <w:sz w:val="20"/>
          <w:szCs w:val="20"/>
        </w:rPr>
        <w:t>a) Vida útil o porcentajes de depreciación, deterioro o amortización utilizados en los diferentes tipos de activos:</w:t>
      </w:r>
    </w:p>
    <w:p>
      <w:pPr>
        <w:jc w:val="both"/>
        <w:rPr>
          <w:rFonts w:ascii="Arial" w:hAnsi="Arial" w:cs="Arial"/>
          <w:sz w:val="20"/>
          <w:szCs w:val="20"/>
        </w:rPr>
      </w:pPr>
      <w:r>
        <w:rPr>
          <w:rFonts w:ascii="Arial" w:hAnsi="Arial" w:cs="Arial"/>
          <w:sz w:val="20"/>
          <w:szCs w:val="20"/>
        </w:rPr>
        <w:t>El municipio de León considera las tasas de depreciación de acuerdo a los Parámetros de Estimación de Vida Útil, publicados en el Diario Oficial de fecha 15 de agosto de 2012.</w:t>
      </w:r>
    </w:p>
    <w:p>
      <w:pPr>
        <w:jc w:val="both"/>
        <w:rPr>
          <w:rFonts w:ascii="Arial" w:hAnsi="Arial" w:cs="Arial"/>
          <w:b/>
          <w:sz w:val="20"/>
          <w:szCs w:val="20"/>
        </w:rPr>
      </w:pPr>
      <w:r>
        <w:rPr>
          <w:rFonts w:ascii="Arial" w:hAnsi="Arial" w:cs="Arial"/>
          <w:b/>
          <w:sz w:val="20"/>
          <w:szCs w:val="20"/>
        </w:rPr>
        <w:t>9. Fideicomisos, Mandatos y Análogos:</w:t>
      </w:r>
    </w:p>
    <w:p>
      <w:pPr>
        <w:jc w:val="both"/>
        <w:rPr>
          <w:rFonts w:ascii="Arial" w:hAnsi="Arial" w:cs="Arial"/>
          <w:sz w:val="20"/>
          <w:szCs w:val="20"/>
        </w:rPr>
      </w:pPr>
      <w:r>
        <w:rPr>
          <w:rFonts w:ascii="Arial" w:hAnsi="Arial" w:cs="Arial"/>
          <w:sz w:val="20"/>
          <w:szCs w:val="20"/>
        </w:rPr>
        <w:t>La información de los fideicomisos con que cuenta este Municipio, es parte integrante de la presente cuenta pública, en caso de requerir información adicional, está a su disposición</w:t>
      </w:r>
    </w:p>
    <w:p>
      <w:pPr>
        <w:jc w:val="both"/>
        <w:rPr>
          <w:rFonts w:ascii="Arial" w:hAnsi="Arial" w:cs="Arial"/>
          <w:b/>
          <w:sz w:val="20"/>
          <w:szCs w:val="20"/>
        </w:rPr>
      </w:pPr>
      <w:r>
        <w:rPr>
          <w:rFonts w:ascii="Arial" w:hAnsi="Arial" w:cs="Arial"/>
          <w:b/>
          <w:sz w:val="20"/>
          <w:szCs w:val="20"/>
        </w:rPr>
        <w:t>10. Reporte de la Recaudación:</w:t>
      </w:r>
    </w:p>
    <w:p>
      <w:pPr>
        <w:jc w:val="both"/>
        <w:rPr>
          <w:rFonts w:ascii="Arial" w:hAnsi="Arial" w:cs="Arial"/>
          <w:sz w:val="20"/>
          <w:szCs w:val="20"/>
        </w:rPr>
      </w:pPr>
      <w:r>
        <w:rPr>
          <w:rFonts w:ascii="Arial" w:hAnsi="Arial" w:cs="Arial"/>
          <w:sz w:val="20"/>
          <w:szCs w:val="20"/>
        </w:rPr>
        <w:t>Información contenida en el EAI</w:t>
      </w:r>
    </w:p>
    <w:p>
      <w:pPr>
        <w:jc w:val="both"/>
        <w:rPr>
          <w:rFonts w:ascii="Arial" w:hAnsi="Arial" w:cs="Arial"/>
          <w:b/>
          <w:sz w:val="20"/>
          <w:szCs w:val="20"/>
        </w:rPr>
      </w:pPr>
      <w:r>
        <w:rPr>
          <w:rFonts w:ascii="Arial" w:hAnsi="Arial" w:cs="Arial"/>
          <w:b/>
          <w:sz w:val="20"/>
          <w:szCs w:val="20"/>
        </w:rPr>
        <w:t>11. Información sobre la Deuda y el Reporte Analítico de la Deuda:</w:t>
      </w:r>
    </w:p>
    <w:p>
      <w:pPr>
        <w:jc w:val="both"/>
        <w:rPr>
          <w:rFonts w:ascii="Arial" w:hAnsi="Arial" w:cs="Arial"/>
          <w:sz w:val="20"/>
          <w:szCs w:val="20"/>
        </w:rPr>
      </w:pPr>
      <w:r>
        <w:rPr>
          <w:rFonts w:ascii="Arial" w:hAnsi="Arial" w:cs="Arial"/>
          <w:sz w:val="20"/>
          <w:szCs w:val="20"/>
        </w:rPr>
        <w:t xml:space="preserve">Información contenida en el Estado Analítico de la Deuda y Otros Pasivos, así como Endeudamiento Neto </w:t>
      </w:r>
    </w:p>
    <w:p>
      <w:pPr>
        <w:jc w:val="both"/>
        <w:rPr>
          <w:rFonts w:ascii="Arial" w:hAnsi="Arial" w:cs="Arial"/>
          <w:b/>
          <w:sz w:val="20"/>
          <w:szCs w:val="20"/>
        </w:rPr>
      </w:pPr>
      <w:r>
        <w:rPr>
          <w:rFonts w:ascii="Arial" w:hAnsi="Arial" w:cs="Arial"/>
          <w:b/>
          <w:sz w:val="20"/>
          <w:szCs w:val="20"/>
        </w:rPr>
        <w:t>12. Calificaciones otorgadas:</w:t>
      </w:r>
    </w:p>
    <w:p>
      <w:pPr>
        <w:jc w:val="both"/>
        <w:rPr>
          <w:rFonts w:ascii="Arial" w:hAnsi="Arial" w:cs="Arial"/>
          <w:sz w:val="20"/>
          <w:szCs w:val="20"/>
        </w:rPr>
      </w:pPr>
      <w:r>
        <w:rPr>
          <w:rFonts w:ascii="Arial" w:hAnsi="Arial" w:cs="Arial"/>
          <w:sz w:val="20"/>
          <w:szCs w:val="20"/>
        </w:rPr>
        <w:t>Informar, tanto del ente público como cualquier transacción realizada, que haya sido sujeta a una calificación crediticia:</w:t>
      </w:r>
    </w:p>
    <w:p>
      <w:pPr>
        <w:jc w:val="both"/>
        <w:rPr>
          <w:rFonts w:ascii="Arial" w:hAnsi="Arial" w:cs="Arial"/>
          <w:sz w:val="20"/>
          <w:szCs w:val="20"/>
          <w:lang w:val="en-US"/>
        </w:rPr>
      </w:pPr>
      <w:r>
        <w:rPr>
          <w:rFonts w:ascii="Arial" w:hAnsi="Arial" w:cs="Arial"/>
          <w:sz w:val="20"/>
          <w:szCs w:val="20"/>
          <w:lang w:val="en-US"/>
        </w:rPr>
        <w:t>Stándar and Poors=mxAA+/ Moody’s=Aa3.mx</w:t>
      </w:r>
    </w:p>
    <w:p>
      <w:pPr>
        <w:jc w:val="both"/>
        <w:rPr>
          <w:rFonts w:ascii="Arial" w:hAnsi="Arial" w:cs="Arial"/>
          <w:sz w:val="20"/>
          <w:szCs w:val="20"/>
        </w:rPr>
      </w:pPr>
      <w:r>
        <w:rPr>
          <w:rFonts w:ascii="Arial" w:hAnsi="Arial" w:cs="Arial"/>
          <w:sz w:val="20"/>
          <w:szCs w:val="20"/>
        </w:rPr>
        <w:t>MOODY´S  Aa3.mx califiación nacional</w:t>
      </w:r>
    </w:p>
    <w:p>
      <w:pPr>
        <w:jc w:val="both"/>
        <w:rPr>
          <w:rFonts w:ascii="Arial" w:hAnsi="Arial" w:cs="Arial"/>
          <w:sz w:val="20"/>
          <w:szCs w:val="20"/>
        </w:rPr>
      </w:pPr>
      <w:r>
        <w:rPr>
          <w:rFonts w:ascii="Arial" w:hAnsi="Arial" w:cs="Arial"/>
          <w:sz w:val="20"/>
          <w:szCs w:val="20"/>
        </w:rPr>
        <w:t>MOODY´S  Baa3     califiación Global</w:t>
      </w:r>
    </w:p>
    <w:p>
      <w:pPr>
        <w:jc w:val="both"/>
        <w:rPr>
          <w:rFonts w:ascii="Arial" w:hAnsi="Arial" w:cs="Arial"/>
          <w:b/>
          <w:sz w:val="20"/>
          <w:szCs w:val="20"/>
        </w:rPr>
      </w:pPr>
      <w:r>
        <w:rPr>
          <w:rFonts w:ascii="Arial" w:hAnsi="Arial" w:cs="Arial"/>
          <w:b/>
          <w:sz w:val="20"/>
          <w:szCs w:val="20"/>
        </w:rPr>
        <w:t>13. Proceso de Mejora:</w:t>
      </w:r>
    </w:p>
    <w:p>
      <w:pPr>
        <w:jc w:val="both"/>
        <w:rPr>
          <w:rFonts w:ascii="Arial" w:hAnsi="Arial" w:cs="Arial"/>
          <w:sz w:val="20"/>
          <w:szCs w:val="20"/>
        </w:rPr>
      </w:pPr>
      <w:r>
        <w:rPr>
          <w:rFonts w:ascii="Arial" w:hAnsi="Arial" w:cs="Arial"/>
          <w:sz w:val="20"/>
          <w:szCs w:val="20"/>
        </w:rPr>
        <w:t>Anualmente se revisan y se mejoran los procesos internos, mediante la actualización de los Manuales de Procedimientos de las Direcciones Generales de la Administración Central.</w:t>
      </w:r>
    </w:p>
    <w:p>
      <w:pPr>
        <w:jc w:val="both"/>
        <w:rPr>
          <w:rFonts w:ascii="Arial" w:hAnsi="Arial" w:cs="Arial"/>
          <w:b/>
          <w:sz w:val="20"/>
          <w:szCs w:val="20"/>
        </w:rPr>
      </w:pPr>
      <w:r>
        <w:rPr>
          <w:rFonts w:ascii="Arial" w:hAnsi="Arial" w:cs="Arial"/>
          <w:b/>
          <w:sz w:val="20"/>
          <w:szCs w:val="20"/>
        </w:rPr>
        <w:t xml:space="preserve">14. Información por Segmentos:  </w:t>
      </w:r>
    </w:p>
    <w:p>
      <w:pPr>
        <w:autoSpaceDE w:val="0"/>
        <w:autoSpaceDN w:val="0"/>
        <w:adjustRightInd w:val="0"/>
        <w:jc w:val="both"/>
        <w:rPr>
          <w:rFonts w:ascii="Arial" w:hAnsi="Arial" w:cs="Arial"/>
          <w:sz w:val="20"/>
          <w:szCs w:val="20"/>
        </w:rPr>
      </w:pPr>
      <w:r>
        <w:rPr>
          <w:rFonts w:ascii="Arial" w:hAnsi="Arial" w:cs="Arial"/>
          <w:sz w:val="20"/>
          <w:szCs w:val="20"/>
        </w:rPr>
        <w:t>El Municipio puede generar información de acuerdo a las fuentes de financiamiento y a los clasificadores de ingresos y egresos emitidos por el Consejo Nacional de Armonización Contable, por Unidad Responsable, por proceso o proyecto.</w:t>
      </w: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15. Eventos Posteriores al Cierre:</w:t>
      </w:r>
    </w:p>
    <w:p>
      <w:pPr>
        <w:jc w:val="both"/>
        <w:rPr>
          <w:rFonts w:ascii="Arial" w:hAnsi="Arial" w:cs="Arial"/>
          <w:sz w:val="20"/>
          <w:szCs w:val="20"/>
        </w:rPr>
      </w:pPr>
      <w:r>
        <w:rPr>
          <w:rFonts w:ascii="Arial" w:hAnsi="Arial" w:cs="Arial"/>
          <w:sz w:val="20"/>
          <w:szCs w:val="20"/>
        </w:rPr>
        <w:t>El efecto en sus estados financieros de aquellos hechos ocurridos en el período posterior al que se informa, sobre eventos que le afectan económicamente y que no se conocían a la fecha de cierre, se reflejan en las cuentas de patrimonio.</w:t>
      </w:r>
    </w:p>
    <w:p>
      <w:pPr>
        <w:jc w:val="both"/>
        <w:rPr>
          <w:rFonts w:ascii="Arial" w:hAnsi="Arial" w:cs="Arial"/>
          <w:b/>
          <w:sz w:val="20"/>
          <w:szCs w:val="20"/>
        </w:rPr>
      </w:pPr>
      <w:r>
        <w:rPr>
          <w:rFonts w:ascii="Arial" w:hAnsi="Arial" w:cs="Arial"/>
          <w:b/>
          <w:sz w:val="20"/>
          <w:szCs w:val="20"/>
        </w:rPr>
        <w:t>16. Partes Relacionadas:</w:t>
      </w:r>
    </w:p>
    <w:p>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pPr>
        <w:pStyle w:val="Ttulo2"/>
        <w:rPr>
          <w:rFonts w:asciiTheme="minorHAnsi" w:hAnsiTheme="minorHAnsi" w:cstheme="minorHAnsi"/>
          <w:b/>
          <w:color w:val="auto"/>
          <w:sz w:val="22"/>
        </w:rPr>
      </w:pPr>
      <w:bookmarkStart w:id="1" w:name="_Toc508279637"/>
      <w:r>
        <w:rPr>
          <w:rFonts w:asciiTheme="minorHAnsi" w:hAnsiTheme="minorHAnsi" w:cstheme="minorHAnsi"/>
          <w:b/>
          <w:color w:val="auto"/>
          <w:sz w:val="22"/>
        </w:rPr>
        <w:t>17. Responsabilidad Sobre la Presentación Razonable de la Información Contable:</w:t>
      </w:r>
      <w:bookmarkEnd w:id="1"/>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pPr>
        <w:pBdr>
          <w:bottom w:val="single" w:sz="12" w:space="1" w:color="auto"/>
        </w:pBdr>
        <w:spacing w:after="0" w:line="240" w:lineRule="auto"/>
        <w:jc w:val="both"/>
        <w:rPr>
          <w:rFonts w:cs="Calibri"/>
        </w:rPr>
      </w:pPr>
    </w:p>
    <w:p>
      <w:pPr>
        <w:pBdr>
          <w:bottom w:val="single" w:sz="12" w:space="1" w:color="auto"/>
        </w:pBdr>
        <w:spacing w:after="0" w:line="240" w:lineRule="auto"/>
        <w:jc w:val="both"/>
        <w:rPr>
          <w:rFonts w:cs="Calibri"/>
        </w:rPr>
      </w:pPr>
    </w:p>
    <w:p>
      <w:pPr>
        <w:spacing w:after="0" w:line="240" w:lineRule="auto"/>
        <w:jc w:val="both"/>
        <w:rPr>
          <w:rFonts w:cs="Calibri"/>
        </w:rPr>
      </w:pPr>
    </w:p>
    <w:p>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pPr>
        <w:spacing w:after="0" w:line="240" w:lineRule="auto"/>
        <w:jc w:val="both"/>
        <w:rPr>
          <w:rFonts w:ascii="Arial" w:eastAsia="Times New Roman" w:hAnsi="Arial" w:cs="Arial"/>
          <w:sz w:val="16"/>
          <w:szCs w:val="16"/>
          <w:lang w:eastAsia="es-MX"/>
        </w:rPr>
      </w:pPr>
    </w:p>
    <w:p>
      <w:pPr>
        <w:jc w:val="both"/>
        <w:rPr>
          <w:rFonts w:cs="Calibri"/>
        </w:rPr>
      </w:pPr>
      <w:r>
        <w:rPr>
          <w:noProof/>
          <w:lang w:eastAsia="es-MX"/>
        </w:rPr>
        <mc:AlternateContent>
          <mc:Choice Requires="wps">
            <w:drawing>
              <wp:anchor distT="4294967295" distB="4294967295" distL="114300" distR="114300" simplePos="0" relativeHeight="251662336" behindDoc="0" locked="0" layoutInCell="1" allowOverlap="1">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E234C51"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p>
    <w:p>
      <w:pPr>
        <w:jc w:val="both"/>
        <w:rPr>
          <w:rFonts w:cs="Calibri"/>
        </w:rPr>
      </w:pP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3052445</wp:posOffset>
                </wp:positionH>
                <wp:positionV relativeFrom="paragraph">
                  <wp:posOffset>256540</wp:posOffset>
                </wp:positionV>
                <wp:extent cx="2533650" cy="371475"/>
                <wp:effectExtent l="0" t="0" r="0" b="9525"/>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71475"/>
                        </a:xfrm>
                        <a:prstGeom prst="rect">
                          <a:avLst/>
                        </a:prstGeom>
                        <a:solidFill>
                          <a:sysClr val="window" lastClr="FFFFFF"/>
                        </a:solidFill>
                        <a:ln w="9525" cmpd="sng">
                          <a:noFill/>
                        </a:ln>
                        <a:effectLst/>
                      </wps:spPr>
                      <wps:txbx>
                        <w:txbxContent>
                          <w:p>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C.P. y M.F. ENRIQUE RODRIGO SOSA CAMPOS</w:t>
                            </w:r>
                          </w:p>
                          <w:p>
                            <w:pPr>
                              <w:pStyle w:val="NormalWeb"/>
                              <w:spacing w:before="0" w:beforeAutospacing="0" w:after="0" w:afterAutospacing="0"/>
                              <w:jc w:val="center"/>
                              <w:rPr>
                                <w:b/>
                              </w:rPr>
                            </w:pPr>
                            <w:r>
                              <w:rPr>
                                <w:rFonts w:ascii="Arial" w:hAnsi="Arial" w:cs="Arial"/>
                                <w:b/>
                                <w:color w:val="000000"/>
                                <w:sz w:val="16"/>
                                <w:szCs w:val="16"/>
                              </w:rPr>
                              <w:t>TESORERO MUNICIPAL DE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6D7378" id="_x0000_t202" coordsize="21600,21600" o:spt="202" path="m,l,21600r21600,l21600,xe">
                <v:stroke joinstyle="miter"/>
                <v:path gradientshapeok="t" o:connecttype="rect"/>
              </v:shapetype>
              <v:shape id="9 CuadroTexto" o:spid="_x0000_s1026" type="#_x0000_t202" style="position:absolute;left:0;text-align:left;margin-left:240.35pt;margin-top:20.2pt;width:199.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" fillcolor="window" stroked="f">
                <v:path arrowok="t"/>
                <v:textbox>
                  <w:txbxContent>
                    <w:p w:rsidR="006D7827" w:rsidRPr="00EB0AB8" w:rsidRDefault="00EC2A6A" w:rsidP="00EB0AB8">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C.P. y M.F. ENRIQUE RODRIGO SOSA CAMPOS</w:t>
                      </w:r>
                    </w:p>
                    <w:p w:rsidR="00EB0AB8" w:rsidRPr="00EB0AB8" w:rsidRDefault="00EB0AB8" w:rsidP="00EB0AB8">
                      <w:pPr>
                        <w:pStyle w:val="NormalWeb"/>
                        <w:spacing w:before="0" w:beforeAutospacing="0" w:after="0" w:afterAutospacing="0"/>
                        <w:jc w:val="center"/>
                        <w:rPr>
                          <w:b/>
                        </w:rPr>
                      </w:pPr>
                      <w:r w:rsidRPr="00EB0AB8">
                        <w:rPr>
                          <w:rFonts w:ascii="Arial" w:hAnsi="Arial" w:cs="Arial"/>
                          <w:b/>
                          <w:color w:val="000000"/>
                          <w:sz w:val="16"/>
                          <w:szCs w:val="16"/>
                        </w:rPr>
                        <w:t>TESORERO MUNICIPAL DE LEÓN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268605</wp:posOffset>
                </wp:positionV>
                <wp:extent cx="2714625" cy="361950"/>
                <wp:effectExtent l="0" t="0" r="9525"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361950"/>
                        </a:xfrm>
                        <a:prstGeom prst="rect">
                          <a:avLst/>
                        </a:prstGeom>
                        <a:solidFill>
                          <a:sysClr val="window" lastClr="FFFFFF"/>
                        </a:solidFill>
                        <a:ln w="9525" cmpd="sng">
                          <a:noFill/>
                        </a:ln>
                        <a:effectLst/>
                      </wps:spPr>
                      <wps:txbx>
                        <w:txbxContent>
                          <w:p>
                            <w:pPr>
                              <w:pStyle w:val="NormalWeb"/>
                              <w:spacing w:before="0" w:beforeAutospacing="0" w:after="0" w:afterAutospacing="0"/>
                              <w:jc w:val="center"/>
                              <w:rPr>
                                <w:b/>
                              </w:rPr>
                            </w:pPr>
                            <w:r>
                              <w:rPr>
                                <w:rFonts w:ascii="Arial" w:hAnsi="Arial" w:cs="Arial"/>
                                <w:b/>
                                <w:color w:val="000000"/>
                                <w:sz w:val="16"/>
                                <w:szCs w:val="16"/>
                              </w:rPr>
                              <w:t>LIC. HÉCTOR GERMÁN RENÉ LÓPEZ SANTILLANA</w:t>
                            </w:r>
                          </w:p>
                          <w:p>
                            <w:pPr>
                              <w:pStyle w:val="NormalWeb"/>
                              <w:spacing w:before="0" w:beforeAutospacing="0" w:after="0" w:afterAutospacing="0"/>
                              <w:jc w:val="center"/>
                              <w:rPr>
                                <w:b/>
                              </w:rPr>
                            </w:pPr>
                            <w:r>
                              <w:rPr>
                                <w:rFonts w:ascii="Arial" w:hAnsi="Arial" w:cs="Arial"/>
                                <w:b/>
                                <w:color w:val="000000"/>
                                <w:sz w:val="16"/>
                                <w:szCs w:val="16"/>
                              </w:rPr>
                              <w:t>PRESIDENTE MUNICIPAL DE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3166E4" id="_x0000_t202" coordsize="21600,21600" o:spt="202" path="m,l,21600r21600,l21600,xe">
                <v:stroke joinstyle="miter"/>
                <v:path gradientshapeok="t" o:connecttype="rect"/>
              </v:shapetype>
              <v:shape id="_x0000_s1027" type="#_x0000_t202" style="position:absolute;left:0;text-align:left;margin-left:.35pt;margin-top:21.15pt;width:21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" fillcolor="window" stroked="f">
                <v:path arrowok="t"/>
                <v:textbox>
                  <w:txbxContent>
                    <w:p w:rsidR="006D7827" w:rsidRPr="00EB0AB8" w:rsidRDefault="009D75E4" w:rsidP="00EB0AB8">
                      <w:pPr>
                        <w:pStyle w:val="NormalWeb"/>
                        <w:spacing w:before="0" w:beforeAutospacing="0" w:after="0" w:afterAutospacing="0"/>
                        <w:jc w:val="center"/>
                        <w:rPr>
                          <w:b/>
                        </w:rPr>
                      </w:pPr>
                      <w:r>
                        <w:rPr>
                          <w:rFonts w:ascii="Arial" w:hAnsi="Arial" w:cs="Arial"/>
                          <w:b/>
                          <w:color w:val="000000"/>
                          <w:sz w:val="16"/>
                          <w:szCs w:val="16"/>
                        </w:rPr>
                        <w:t xml:space="preserve">LIC. </w:t>
                      </w:r>
                      <w:r>
                        <w:rPr>
                          <w:rFonts w:ascii="Arial" w:hAnsi="Arial" w:cs="Arial"/>
                          <w:b/>
                          <w:color w:val="000000"/>
                          <w:sz w:val="16"/>
                          <w:szCs w:val="16"/>
                        </w:rPr>
                        <w:t xml:space="preserve">HÉCTOR </w:t>
                      </w:r>
                      <w:r>
                        <w:rPr>
                          <w:rFonts w:ascii="Arial" w:hAnsi="Arial" w:cs="Arial"/>
                          <w:b/>
                          <w:color w:val="000000"/>
                          <w:sz w:val="16"/>
                          <w:szCs w:val="16"/>
                        </w:rPr>
                        <w:t>GERMÁ</w:t>
                      </w:r>
                      <w:bookmarkStart w:id="2" w:name="_GoBack"/>
                      <w:bookmarkEnd w:id="2"/>
                      <w:r>
                        <w:rPr>
                          <w:rFonts w:ascii="Arial" w:hAnsi="Arial" w:cs="Arial"/>
                          <w:b/>
                          <w:color w:val="000000"/>
                          <w:sz w:val="16"/>
                          <w:szCs w:val="16"/>
                        </w:rPr>
                        <w:t>N RENÉ LÓPEZ SANTILLANA</w:t>
                      </w:r>
                    </w:p>
                    <w:p w:rsidR="006D7827" w:rsidRPr="00EB0AB8" w:rsidRDefault="00EB0AB8" w:rsidP="00EB0AB8">
                      <w:pPr>
                        <w:pStyle w:val="NormalWeb"/>
                        <w:spacing w:before="0" w:beforeAutospacing="0" w:after="0" w:afterAutospacing="0"/>
                        <w:jc w:val="center"/>
                        <w:rPr>
                          <w:b/>
                        </w:rPr>
                      </w:pPr>
                      <w:r w:rsidRPr="00EB0AB8">
                        <w:rPr>
                          <w:rFonts w:ascii="Arial" w:hAnsi="Arial" w:cs="Arial"/>
                          <w:b/>
                          <w:color w:val="000000"/>
                          <w:sz w:val="16"/>
                          <w:szCs w:val="16"/>
                        </w:rPr>
                        <w:t>PRESIDENTE MUNICIPAL DE LEÓN</w:t>
                      </w:r>
                    </w:p>
                  </w:txbxContent>
                </v:textbox>
              </v:shape>
            </w:pict>
          </mc:Fallback>
        </mc:AlternateContent>
      </w:r>
    </w:p>
    <w:p>
      <w:pPr>
        <w:jc w:val="both"/>
        <w:rPr>
          <w:rFonts w:cs="Calibri"/>
        </w:rPr>
      </w:pPr>
    </w:p>
    <w:sectPr>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jc w:val="center"/>
      <w:rPr>
        <w:b/>
      </w:rPr>
    </w:pPr>
    <w:r>
      <w:rPr>
        <w:b/>
      </w:rPr>
      <w:t>MUNICIPIO DE LEÓN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uiPriority w:val="99"/>
    <w:unhideWhenUsed/>
    <w:rPr>
      <w:color w:val="0000FF"/>
      <w:u w:val="single"/>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sz w:val="22"/>
      <w:szCs w:val="22"/>
      <w:lang w:eastAsia="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sz w:val="22"/>
      <w:szCs w:val="22"/>
      <w:lang w:eastAsia="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visitado">
    <w:name w:val="FollowedHyperlink"/>
    <w:basedOn w:val="Fuentedeprrafopredeter"/>
    <w:uiPriority w:val="99"/>
    <w:semiHidden/>
    <w:unhideWhenUsed/>
    <w:rPr>
      <w:color w:val="954F72" w:themeColor="followedHyperlink"/>
      <w:u w:val="single"/>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gob.mx/transparencia/images/stories/Organigrama/admon.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7597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Claudia Elizabeth Casillas Villegas</cp:lastModifiedBy>
  <cp:revision>2</cp:revision>
  <cp:lastPrinted>2018-04-24T21:40:00Z</cp:lastPrinted>
  <dcterms:created xsi:type="dcterms:W3CDTF">2018-10-26T17:05:00Z</dcterms:created>
  <dcterms:modified xsi:type="dcterms:W3CDTF">2018-10-26T17:05:00Z</dcterms:modified>
</cp:coreProperties>
</file>